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E7EF" w14:textId="48A23661" w:rsidR="00EF453B" w:rsidRPr="007C4241" w:rsidRDefault="007C4241" w:rsidP="007C42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kern w:val="0"/>
          <w:lang w:eastAsia="zh-CN"/>
          <w14:ligatures w14:val="none"/>
        </w:rPr>
      </w:pPr>
      <w:r w:rsidRPr="007C4241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>Suppl</w:t>
      </w:r>
      <w:r w:rsidRPr="007C4241">
        <w:rPr>
          <w:rFonts w:ascii="Times New Roman" w:hAnsi="Times New Roman" w:cs="Times New Roman"/>
          <w:b/>
          <w:bCs/>
          <w:color w:val="212121"/>
          <w:kern w:val="0"/>
          <w:lang w:eastAsia="zh-CN"/>
          <w14:ligatures w14:val="none"/>
        </w:rPr>
        <w:t xml:space="preserve"> 2</w:t>
      </w:r>
      <w:r w:rsidRPr="007C4241">
        <w:rPr>
          <w:rFonts w:ascii="Times New Roman" w:eastAsia="Times New Roman" w:hAnsi="Times New Roman" w:cs="Times New Roman"/>
          <w:b/>
          <w:bCs/>
          <w:color w:val="212121"/>
          <w:kern w:val="0"/>
          <w14:ligatures w14:val="none"/>
        </w:rPr>
        <w:t xml:space="preserve">. </w:t>
      </w:r>
      <w:r w:rsidRPr="007C4241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The Joanna Briggs Institute (JBI) Critical Appraisal </w:t>
      </w:r>
      <w:r w:rsidR="00894F1E">
        <w:rPr>
          <w:rFonts w:ascii="Times New Roman" w:hAnsi="Times New Roman" w:cs="Times New Roman" w:hint="eastAsia"/>
          <w:color w:val="212121"/>
          <w:kern w:val="0"/>
          <w:lang w:eastAsia="zh-CN"/>
          <w14:ligatures w14:val="none"/>
        </w:rPr>
        <w:t>c</w:t>
      </w:r>
      <w:r w:rsidRPr="007C4241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hecklist fo</w:t>
      </w:r>
      <w:r w:rsidRPr="007C4241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r case-control studies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7960"/>
      </w:tblGrid>
      <w:tr w:rsidR="00EF453B" w:rsidRPr="007C4241" w14:paraId="1070B0BF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0049CEF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C053FE3" w14:textId="345FDB24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Critical </w:t>
            </w:r>
            <w:r w:rsidR="007C4241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lang w:eastAsia="zh-CN"/>
                <w14:ligatures w14:val="none"/>
              </w:rPr>
              <w:t>a</w:t>
            </w:r>
            <w:r w:rsidRPr="007C42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ppraisal </w:t>
            </w:r>
            <w:r w:rsidR="007C4241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lang w:eastAsia="zh-CN"/>
                <w14:ligatures w14:val="none"/>
              </w:rPr>
              <w:t>q</w:t>
            </w:r>
            <w:r w:rsidRPr="007C424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uestions</w:t>
            </w:r>
          </w:p>
        </w:tc>
      </w:tr>
      <w:tr w:rsidR="00EF453B" w:rsidRPr="007C4241" w14:paraId="61CEB54F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4E395B97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97B7F48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Were the groups comparable other than the presence of disease in cases or the absence of disease in controls?</w:t>
            </w:r>
          </w:p>
        </w:tc>
      </w:tr>
      <w:tr w:rsidR="00EF453B" w:rsidRPr="007C4241" w14:paraId="388166BA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20E94D4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4706FE5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Were cases and controls matched appropriately? </w:t>
            </w:r>
          </w:p>
        </w:tc>
      </w:tr>
      <w:tr w:rsidR="00EF453B" w:rsidRPr="007C4241" w14:paraId="5A0D82B2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74ED2CC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5F9C52A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Were the same criteria used for the identification of cases and controls?</w:t>
            </w:r>
          </w:p>
        </w:tc>
      </w:tr>
      <w:tr w:rsidR="00EF453B" w:rsidRPr="007C4241" w14:paraId="3AD166FE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35BC778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3003A83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Was exposure measured in a standard, valid, and reliable way? </w:t>
            </w:r>
          </w:p>
        </w:tc>
      </w:tr>
      <w:tr w:rsidR="00EF453B" w:rsidRPr="007C4241" w14:paraId="53F2AF07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E68E8FC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9BEB355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Was exposure measured in the same way for cases and controls?</w:t>
            </w:r>
          </w:p>
        </w:tc>
      </w:tr>
      <w:tr w:rsidR="00EF453B" w:rsidRPr="007C4241" w14:paraId="1DA66F09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0316FA5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394C716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Were</w:t>
            </w:r>
            <w:proofErr w:type="spellEnd"/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 xml:space="preserve"> confounding factors identified? </w:t>
            </w:r>
          </w:p>
        </w:tc>
      </w:tr>
      <w:tr w:rsidR="00EF453B" w:rsidRPr="007C4241" w14:paraId="1EFB52E5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14FE7028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02177BE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Were strategies to deal with confounding factors stated?</w:t>
            </w:r>
          </w:p>
        </w:tc>
      </w:tr>
      <w:tr w:rsidR="00EF453B" w:rsidRPr="007C4241" w14:paraId="1FA00083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AA7EEBD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077E9ED5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Were outcomes assessed in a standard, valid, and reliable way for cases and controls?</w:t>
            </w:r>
          </w:p>
        </w:tc>
      </w:tr>
      <w:tr w:rsidR="00EF453B" w:rsidRPr="007C4241" w14:paraId="7D4F401D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58405EBB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387F0E2A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Was the exposure period of interest long enough to be meaningful? </w:t>
            </w:r>
          </w:p>
        </w:tc>
      </w:tr>
      <w:tr w:rsidR="00EF453B" w:rsidRPr="007C4241" w14:paraId="6D7BC88B" w14:textId="77777777" w:rsidTr="007C424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CF8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645B9716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14:paraId="28C01F41" w14:textId="77777777" w:rsidR="00EF453B" w:rsidRPr="007C4241" w:rsidRDefault="00EF453B" w:rsidP="007C42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C4241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>Was appropriate statistical analysis used?</w:t>
            </w:r>
          </w:p>
        </w:tc>
      </w:tr>
    </w:tbl>
    <w:p w14:paraId="0929DA29" w14:textId="77777777" w:rsidR="00EF453B" w:rsidRPr="007C4241" w:rsidRDefault="00EF453B" w:rsidP="007C4241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EF453B" w:rsidRPr="007C4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3B"/>
    <w:rsid w:val="00052E55"/>
    <w:rsid w:val="007C4241"/>
    <w:rsid w:val="00894F1E"/>
    <w:rsid w:val="00922E90"/>
    <w:rsid w:val="009E48E0"/>
    <w:rsid w:val="00A24943"/>
    <w:rsid w:val="00D673D8"/>
    <w:rsid w:val="00D976D7"/>
    <w:rsid w:val="00EF453B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8BE1"/>
  <w15:chartTrackingRefBased/>
  <w15:docId w15:val="{4133E040-87B3-43F6-B83F-D0D0B722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3B"/>
    <w:pPr>
      <w:spacing w:after="160" w:line="278" w:lineRule="auto"/>
    </w:pPr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F4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53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5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5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5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53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F4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5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4</cp:revision>
  <dcterms:created xsi:type="dcterms:W3CDTF">2025-11-09T14:40:00Z</dcterms:created>
  <dcterms:modified xsi:type="dcterms:W3CDTF">2025-11-09T14:49:00Z</dcterms:modified>
</cp:coreProperties>
</file>